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                                Δ Ε Λ Τ Ι Ο     Τ Υ Π Ο Υ</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ΔΗΜΟΣ ΚΩ : ‘’ Ο κ. Περιφερειάρχης κήρυξε  τον πόλεμο στην Κω’’</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Από το Γραφείο Τύπου του Δήμου Κω, εκδόθηκε η ακόλουθη ανακοίνωση:</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 Δεν πρόκειται να αντιπαρατεθούμε στο πεδίο των ύβρεων και των χαρ ακτηρισμών.</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Ο κ.Περιφερειάρχης έχει ξεφύγει.</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Κήρυξε τον πόλεμο στην Κω και στους πολίτες της. Δεν κρατά πλέον ούτε τα στοιχειώδη προσχήματα.</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Δεν έχει πρόβλημα μόνο με το Δήμο της Κω.</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Το τελευταίο διάστημα ο κ.Χατζημάρκος έχει συγκρουστεί με το Δήμαρχο Σύρου, με το Σύλλογο Ελλήνων Αρχαιολόγων, τον Αντιπεριφερειάρχη του, το Σύλλογο Γονέων Κάσου επειδή του επισήμανε τις ευθύνες του για τα σχολικά κτίρια και με άλλους πολλούς.</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Όποιος έχει αντίθετη γνώμη με τον κ.Περιφερειάρχη πρέπει να είναι προετοιμασμένος να δεχθεί επίθεση και ύβρεις.</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Σε ότι αφορά στο θέμα του καθαρισμού των ρεμάτων η εγκύκλιος του Υπουργείου Εσωτερικών είναι σαφής και ζητά από τις Περιφέρειες να αναλάβουν τον καθαρισμό των ρευμάτων. Πουθενά στην εγκύκλιο δεν αναφέρεται ότι...εξαιρείται ο κ.Χατζημάρκος.</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Εμείς όμως μόνοι μας ή μαζί με την Περιφέρεια θα προχωρήσουμε στον καθαρισμό των ρεμάτων.</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Σε ότι αφορά στο θέμα της δημοτικής συγκοινωνίας, από την ανακοίνωση του κ.Περιφερειάρχη αντιλαμβανόμαστε όλοι ότι δεν πρόκειται να αφήσει τα λεωφορεία της δημοτικής συγκοινωνίας να πάνε στα χωριά.</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Σε ότι αφορά στο θέμα της δημιουργίας  hot spot στην Κω, υπάρχουν τα δακτυλικά του αποτυπώματα.</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Όποιοι ήταν και είναι εναντίον αυτού του ανεξέλεγκτου καταυλισμού ήταν και είναι μαζί με τη δημοτική αρχή και την πλειοψηφία των κατοίκων. </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Ο Δήμος Κω κρατά ανοιχτές τις πόρτες της συνεργασίας με την Περιφέρεια.</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Γιατί οι δύο βαθμοί αυτοδιοίκησης είναι θεσμοί και οφείλουν να συνεργάζονται ανεξαρτήτως των διαφορών που έχουν.</w:t>
      </w:r>
    </w:p>
    <w:p w:rsidR="00000000" w:rsidDel="00000000" w:rsidP="00000000" w:rsidRDefault="00000000" w:rsidRPr="00000000">
      <w:pPr>
        <w:widowControl w:val="0"/>
        <w:contextualSpacing w:val="0"/>
        <w:jc w:val="both"/>
      </w:pPr>
      <w:r w:rsidDel="00000000" w:rsidR="00000000" w:rsidRPr="00000000">
        <w:rPr>
          <w:rFonts w:ascii="Georgia" w:cs="Georgia" w:eastAsia="Georgia" w:hAnsi="Georgia"/>
          <w:sz w:val="28"/>
          <w:szCs w:val="28"/>
          <w:rtl w:val="0"/>
        </w:rPr>
        <w:t xml:space="preserve">Αυτό άλλωστε ήταν και στο πνεύμα της τηλεφωνικής συνομιλίας του Δημάρχου με τον κ.Περιφερειάρχη πριν από λίγες μέρες.’’</w:t>
      </w:r>
    </w:p>
    <w:sectPr>
      <w:headerReference r:id="rId5" w:type="default"/>
      <w:footerReference r:id="rId6" w:type="default"/>
      <w:pgSz w:h="16840" w:w="11900"/>
      <w:pgMar w:bottom="1042" w:top="1135"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020"/>
      </w:tabs>
      <w:spacing w:before="72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styles" Target="styles.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E12133-F877-422F-AA82-85667E7A9113}"/>
</file>

<file path=customXml/itemProps2.xml><?xml version="1.0" encoding="utf-8"?>
<ds:datastoreItem xmlns:ds="http://schemas.openxmlformats.org/officeDocument/2006/customXml" ds:itemID="{9F237637-6226-48F8-8A02-02F1B11B2C5A}"/>
</file>

<file path=customXml/itemProps3.xml><?xml version="1.0" encoding="utf-8"?>
<ds:datastoreItem xmlns:ds="http://schemas.openxmlformats.org/officeDocument/2006/customXml" ds:itemID="{F7D9F7F2-47FB-41E7-91CD-40DA6347D30D}"/>
</file>